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FC" w:rsidRPr="00771C9C" w:rsidRDefault="00444DFC" w:rsidP="00444DFC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§ 56. Развитие жизни в раннем палеозое (кембрий, </w:t>
      </w:r>
      <w:proofErr w:type="spellStart"/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ордовик</w:t>
      </w:r>
      <w:proofErr w:type="spellEnd"/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, силур)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Палеозойская эра значительно короче предыдущих, она продолжалась около 340 млн лет. Суша, представлявшая в конце протерозоя единый суперконтинент, раскололась на отдельные материки, сгруппированные около экватора. Это привело к созданию большого числа мелких прибрежных районов, пригодных для расселения живых организмов.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 началу палеозоя у некоторых животных образовался внешний органический или минеральный скелет. Его остатки сохранились в осадочных породах. Вот почему начиная с первого периода палеозоя — кембрия — палеонтологическая летопись достаточно полна и относительно непрерывна.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noProof/>
          <w:color w:val="3B3B3B"/>
          <w:sz w:val="24"/>
          <w:szCs w:val="24"/>
          <w:lang w:eastAsia="ru-RU"/>
        </w:rPr>
        <w:drawing>
          <wp:inline distT="0" distB="0" distL="0" distR="0" wp14:anchorId="67A0C7D6" wp14:editId="1E1F56F4">
            <wp:extent cx="6238875" cy="4981575"/>
            <wp:effectExtent l="0" t="0" r="9525" b="9525"/>
            <wp:docPr id="2" name="Рисунок 2" descr="https://medicknow.com/bookschool/biologiya-10-11-belyaeva/biologiya-10-11-belyaeva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cknow.com/bookschool/biologiya-10-11-belyaeva/biologiya-10-11-belyaeva.files/image1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Рис. 73. Фауна раннего палеозоя (кембрий, </w:t>
      </w:r>
      <w:proofErr w:type="spellStart"/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ордовик</w:t>
      </w:r>
      <w:proofErr w:type="spellEnd"/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, силур).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 — колония археоциат; 2 — скелет силурийского коралла; 3 — обитатель мелководных заливов силурийских морей — гигантский ракоскорпион; 4 — головоногий моллюск; 5 — морские лилии; 6,7,8 — древнейшие позвоночные панцирные бесчелюстные; 9 — одиночные кораллы; 10, 11 — трилобиты — примитивнейшие ракообразные; 12 — раковина силурийского головоногого моллюска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lastRenderedPageBreak/>
        <w:t>Кембрий.</w:t>
      </w: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Климат кембрия был умеренным, материки — низменными. В кембрии животные и растения населяли в основном моря. На суше по-прежнему жили бактерии и </w:t>
      </w:r>
      <w:proofErr w:type="spellStart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синезеленые</w:t>
      </w:r>
      <w:proofErr w:type="spellEnd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Кембрийский период ознаменовался быстрым распространением представителей новых типов беспозвоночных животных, многие из которых имели известковый или фосфатный скелет (рис. 73). Ученые связывают это с появлением хищничества. Среди одноклеточных животных были многочисленны фораминиферы — представители простейших, имевших известковую или склеенную из песчинок раковину. Весьма разнообразны были губки. Наряду с сидячими придонными животными развиваются разнообразные подвижные организмы: двустворчатые, брюхоногие и головоногие моллюски, кольчатые черви, от которых уже в кембрии произошли членистоногие. Древнейшие членистоногие — трилобиты — по форме тела напоминали современных ракообразных — мокриц.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spellStart"/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Ордовик</w:t>
      </w:r>
      <w:proofErr w:type="spellEnd"/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.</w:t>
      </w: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 В </w:t>
      </w:r>
      <w:proofErr w:type="spellStart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ордовике</w:t>
      </w:r>
      <w:proofErr w:type="spellEnd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значительно увеличивается площадь морей. В морях </w:t>
      </w:r>
      <w:proofErr w:type="spellStart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ордовика</w:t>
      </w:r>
      <w:proofErr w:type="spellEnd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весьма разнообразны зеленые, бурые и красные водоросли. Идет интенсивный процесс образования рифов кораллами. Значительное разнообразие наблюдается среди головоногих и брюхоногих моллюсков. В </w:t>
      </w:r>
      <w:proofErr w:type="spellStart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ордовике</w:t>
      </w:r>
      <w:proofErr w:type="spellEnd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впервые появляются хордовые. Уменьшается разнообразие губок и некоторых двустворчатых моллюсков.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Силур</w:t>
      </w: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 На смену теплым мелководным морям </w:t>
      </w:r>
      <w:proofErr w:type="spellStart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ордовика</w:t>
      </w:r>
      <w:proofErr w:type="spellEnd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результате интенсивных горообразовательных движений приходят значительные площади суши; отмечено большое иссушение климата.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конце силура наблюдается развитие своеобразных членистоногих — ракоскорпионов. К </w:t>
      </w:r>
      <w:proofErr w:type="spellStart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ордовику</w:t>
      </w:r>
      <w:proofErr w:type="spellEnd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 силуру относится расцвет в морях головоногих моллюсков. Появляются новые представители беспозвоночных — иглокожие.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 силурийских морях начинается массовое распространение первых настоящих позвоночных — панцирных бесчелюстных. По форме тела они напоминали рыб, но принадлежали к другому подтипу. Их тела были защищены от хищников массивным панцирем, состоявшим из нескольких пластин. До настоящего времени сохранились представители этого класса — миноги.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конце силура — начале девона начинается интенсивное развитие наземных растении. Первые наземные растения были лишены настоящих листьев, их строение напоминает строение многоклеточных зеленых водорослей, от которых они произошли. Появление </w:t>
      </w:r>
      <w:proofErr w:type="gramStart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 суше высших растений</w:t>
      </w:r>
      <w:proofErr w:type="gramEnd"/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было подготовлено более ранним выходом из воды бактерий и одноклеточных водорослей, образованием почвы.</w:t>
      </w:r>
    </w:p>
    <w:p w:rsidR="00444DFC" w:rsidRPr="00771C9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Выходят на сушу и животные. Одними из первых перешли из водной среды представители типа членистоногих — пауки, от иссушающего действия атмосферы их защищал хитиновый панцирь.</w:t>
      </w:r>
    </w:p>
    <w:p w:rsidR="00444DFC" w:rsidRDefault="00444DFC" w:rsidP="00444D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1C9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Наступивший в конце силура горообразовательный период вновь изменил климат и условия существования организмов.</w:t>
      </w:r>
      <w:r w:rsidRPr="00771C9C">
        <w:rPr>
          <w:rFonts w:ascii="Times New Roman" w:hAnsi="Times New Roman" w:cs="Times New Roman"/>
          <w:b/>
        </w:rPr>
        <w:t xml:space="preserve"> </w:t>
      </w:r>
    </w:p>
    <w:p w:rsidR="006A28EA" w:rsidRDefault="006A28EA" w:rsidP="00444DF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:rsidR="006A28EA" w:rsidRDefault="006A28EA" w:rsidP="00444DF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:rsidR="00444DFC" w:rsidRPr="00771C9C" w:rsidRDefault="00444DFC" w:rsidP="00444DF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71C9C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  <w:b/>
        </w:rPr>
        <w:t>: заполнить таблицу «Развитие жизни в раннем палеозое»</w:t>
      </w:r>
    </w:p>
    <w:tbl>
      <w:tblPr>
        <w:tblW w:w="937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235"/>
        <w:gridCol w:w="2385"/>
        <w:gridCol w:w="2805"/>
      </w:tblGrid>
      <w:tr w:rsidR="00444DFC" w:rsidTr="00190A9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50" w:type="dxa"/>
          </w:tcPr>
          <w:p w:rsidR="00444DFC" w:rsidRPr="006A28EA" w:rsidRDefault="00444DFC" w:rsidP="00190A97">
            <w:pPr>
              <w:rPr>
                <w:rFonts w:ascii="Times New Roman" w:hAnsi="Times New Roman" w:cs="Times New Roman"/>
              </w:rPr>
            </w:pPr>
            <w:r w:rsidRPr="006A28EA">
              <w:rPr>
                <w:rFonts w:ascii="Times New Roman" w:hAnsi="Times New Roman" w:cs="Times New Roman"/>
              </w:rPr>
              <w:t>Название периода</w:t>
            </w:r>
          </w:p>
        </w:tc>
        <w:tc>
          <w:tcPr>
            <w:tcW w:w="2235" w:type="dxa"/>
          </w:tcPr>
          <w:p w:rsidR="00444DFC" w:rsidRPr="006A28EA" w:rsidRDefault="00444DFC" w:rsidP="00190A97">
            <w:pPr>
              <w:rPr>
                <w:rFonts w:ascii="Times New Roman" w:hAnsi="Times New Roman" w:cs="Times New Roman"/>
              </w:rPr>
            </w:pPr>
            <w:r w:rsidRPr="006A28EA">
              <w:rPr>
                <w:rFonts w:ascii="Times New Roman" w:hAnsi="Times New Roman" w:cs="Times New Roman"/>
              </w:rPr>
              <w:t>Климатические особенности</w:t>
            </w:r>
          </w:p>
        </w:tc>
        <w:tc>
          <w:tcPr>
            <w:tcW w:w="2385" w:type="dxa"/>
          </w:tcPr>
          <w:p w:rsidR="00444DFC" w:rsidRPr="006A28EA" w:rsidRDefault="00444DFC" w:rsidP="00190A97">
            <w:pPr>
              <w:rPr>
                <w:rFonts w:ascii="Times New Roman" w:hAnsi="Times New Roman" w:cs="Times New Roman"/>
              </w:rPr>
            </w:pPr>
            <w:r w:rsidRPr="006A28EA">
              <w:rPr>
                <w:rFonts w:ascii="Times New Roman" w:hAnsi="Times New Roman" w:cs="Times New Roman"/>
              </w:rPr>
              <w:t>Изменения в животном мире</w:t>
            </w:r>
          </w:p>
        </w:tc>
        <w:tc>
          <w:tcPr>
            <w:tcW w:w="2805" w:type="dxa"/>
          </w:tcPr>
          <w:p w:rsidR="00444DFC" w:rsidRPr="006A28EA" w:rsidRDefault="00444DFC" w:rsidP="00190A97">
            <w:pPr>
              <w:rPr>
                <w:rFonts w:ascii="Times New Roman" w:hAnsi="Times New Roman" w:cs="Times New Roman"/>
              </w:rPr>
            </w:pPr>
            <w:r w:rsidRPr="006A28EA">
              <w:rPr>
                <w:rFonts w:ascii="Times New Roman" w:hAnsi="Times New Roman" w:cs="Times New Roman"/>
              </w:rPr>
              <w:t>Изменения в растительном мире</w:t>
            </w:r>
          </w:p>
        </w:tc>
      </w:tr>
      <w:tr w:rsidR="00444DFC" w:rsidTr="00190A9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50" w:type="dxa"/>
          </w:tcPr>
          <w:p w:rsidR="00444DFC" w:rsidRPr="00771C9C" w:rsidRDefault="00444DFC" w:rsidP="00190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кембрий</w:t>
            </w:r>
          </w:p>
        </w:tc>
        <w:tc>
          <w:tcPr>
            <w:tcW w:w="223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444DFC" w:rsidTr="00190A9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50" w:type="dxa"/>
          </w:tcPr>
          <w:p w:rsidR="00444DFC" w:rsidRPr="00771C9C" w:rsidRDefault="00444DFC" w:rsidP="00190A97">
            <w:pPr>
              <w:rPr>
                <w:rFonts w:ascii="Times New Roman" w:hAnsi="Times New Roman" w:cs="Times New Roman"/>
              </w:rPr>
            </w:pPr>
            <w:proofErr w:type="spellStart"/>
            <w:r w:rsidRPr="00771C9C">
              <w:rPr>
                <w:rFonts w:ascii="Times New Roman" w:hAnsi="Times New Roman" w:cs="Times New Roman"/>
              </w:rPr>
              <w:t>ордовик</w:t>
            </w:r>
            <w:proofErr w:type="spellEnd"/>
          </w:p>
        </w:tc>
        <w:tc>
          <w:tcPr>
            <w:tcW w:w="223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4DFC" w:rsidTr="00190A9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50" w:type="dxa"/>
          </w:tcPr>
          <w:p w:rsidR="00444DFC" w:rsidRPr="00771C9C" w:rsidRDefault="00444DFC" w:rsidP="00190A97">
            <w:pPr>
              <w:rPr>
                <w:rFonts w:ascii="Times New Roman" w:hAnsi="Times New Roman" w:cs="Times New Roman"/>
              </w:rPr>
            </w:pPr>
            <w:r w:rsidRPr="00771C9C">
              <w:rPr>
                <w:rFonts w:ascii="Times New Roman" w:hAnsi="Times New Roman" w:cs="Times New Roman"/>
              </w:rPr>
              <w:t>силур</w:t>
            </w:r>
          </w:p>
        </w:tc>
        <w:tc>
          <w:tcPr>
            <w:tcW w:w="223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5" w:type="dxa"/>
          </w:tcPr>
          <w:p w:rsidR="00444DFC" w:rsidRDefault="00444DFC" w:rsidP="00190A9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4046" w:rsidRDefault="00634046"/>
    <w:sectPr w:rsidR="006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8"/>
    <w:rsid w:val="00314C48"/>
    <w:rsid w:val="00444DFC"/>
    <w:rsid w:val="00634046"/>
    <w:rsid w:val="006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0686"/>
  <w15:chartTrackingRefBased/>
  <w15:docId w15:val="{C6BDB83E-1D99-430B-B1E5-97F834F4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2020-04-09T14:35:00Z</dcterms:created>
  <dcterms:modified xsi:type="dcterms:W3CDTF">2020-04-09T14:38:00Z</dcterms:modified>
</cp:coreProperties>
</file>